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клеточный; органоидно-клеточный; субклеточный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9331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5. 1 </w:t>
      </w:r>
    </w:p>
    <w:p>
      <w:pPr>
        <w:ind w:left="0" w:right="0"/>
      </w:pPr>
      <w:r/>
      <w:r>
        <w:t>6. 212122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136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45123</w:t>
      </w:r>
    </w:p>
    <w:p>
      <w:pPr>
        <w:pStyle w:val="aa"/>
        <w:ind w:left="0" w:right="0"/>
      </w:pPr>
      <w:r/>
      <w:r>
        <w:t xml:space="preserve"> 9-10 </w:t>
      </w:r>
    </w:p>
    <w:p>
      <w:pPr>
        <w:ind w:left="0" w:right="0"/>
      </w:pPr>
      <w:r/>
    </w:p>
    <w:p>
      <w:pPr>
        <w:ind w:left="0" w:right="0"/>
      </w:pPr>
      <w:r/>
      <w:r>
        <w:t xml:space="preserve">9. 3 </w:t>
      </w:r>
    </w:p>
    <w:p>
      <w:pPr>
        <w:ind w:left="0" w:right="0"/>
      </w:pPr>
      <w:r/>
      <w:r>
        <w:t>10. 524311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642351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13. 8 </w:t>
      </w:r>
    </w:p>
    <w:p>
      <w:pPr>
        <w:ind w:left="0" w:right="0"/>
      </w:pPr>
      <w:r/>
      <w:r>
        <w:t>14. 222331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146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21453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345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22121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148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22-23 </w:t>
      </w:r>
    </w:p>
    <w:p>
      <w:pPr>
        <w:ind w:left="0" w:right="0"/>
      </w:pPr>
      <w:r/>
    </w:p>
    <w:p>
      <w:pPr>
        <w:ind w:left="0" w:right="0"/>
      </w:pPr>
      <w:r/>
      <w:r>
        <w:t>22. Элементы ответа:</w:t>
        <w:br/>
      </w:r>
      <w:r>
        <w:t>1) зависимая переменная – средняя масса одного растения, независимая переменная – наличие полива растений содержимым колб;</w:t>
        <w:br/>
      </w:r>
      <w:r>
        <w:t>2) нулевая гипотеза – содержимое колб не влияет на рост растений;</w:t>
        <w:br/>
      </w:r>
      <w:r>
        <w:t>3) более подходящий отрицательный контроль – поливать растения питательной средой без хлореллы ИЛИ питательной средой с другой водорослью, которая не синтезирует предполагаемое регуляторное вещество.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ind w:left="0" w:right="0"/>
      </w:pPr>
      <w:r/>
    </w:p>
    <w:p>
      <w:pPr>
        <w:ind w:left="0" w:right="0"/>
      </w:pPr>
      <w:r/>
      <w:r>
        <w:t>23. Элементы ответа:</w:t>
        <w:br/>
      </w:r>
      <w:r>
        <w:t>1) компоненты питательной среды могли послужить удобрением для растений;</w:t>
        <w:br/>
      </w:r>
      <w:r>
        <w:t>2) источники азота необходимы для построения молекул белков (аминокислот) и нуклеиновых кислот (ДНК, РНК, нуклеотидов);</w:t>
        <w:br/>
      </w:r>
      <w:r>
        <w:t>3) источники калия необходимы для поддержания осмотического давления;</w:t>
        <w:br/>
      </w:r>
      <w:r>
        <w:t>4) источники фосфора необходимы для построения молекул нукле-иновых кислот (ДНК, РНК, нуклеотидов) И/ИЛИ фосфолипидов;</w:t>
        <w:br/>
      </w:r>
      <w:r>
        <w:t>5) многие макро- и микроэлементы необходимы для работы ферментов;</w:t>
        <w:br/>
      </w:r>
      <w:r>
        <w:t>6) биомасса хлореллы (входящие в состав клеток органические вещества) могла послужить источником азота и других элементов после разложения почвенными бактериями.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эра палеозойская, период пермский;</w:t>
        <w:br/>
      </w:r>
      <w:r>
        <w:t>2) класс Пресмыкающиеся: конечности, расположенные по бокам туловища;</w:t>
        <w:br/>
      </w:r>
      <w:r>
        <w:t>3) класс Млекопитающие: наличие волос, дифференцированные зубы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защита пыльцы от росы (высокой влажности);</w:t>
        <w:br/>
      </w:r>
      <w:r>
        <w:t>2) намокшая пыльца не может быть перенесена на другие цветы;</w:t>
        <w:br/>
      </w:r>
      <w:r>
        <w:t>3) защита от переохлаждения (излишнего испарения воды);</w:t>
        <w:br/>
      </w:r>
      <w:r>
        <w:t>4) при закрытии цветка уменьшается площадь поверхности, и теплоотдача (испарение) сокращается (в закрытом цветке пестик и тычинки защищены от переохлаждения);</w:t>
        <w:br/>
      </w:r>
      <w:r>
        <w:t>5) движение лепестков происходит при изменении тургорного давления в клетках внешней или внутренней стороны лепестка (или благодаря неравномерному росту разных сторон лепестков).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зародышевый мешок покрытосеменных растений и эндосперм голосеменных растений – гомологичные органы;</w:t>
        <w:br/>
      </w:r>
      <w:r>
        <w:t>2) обе названные структуры имеют общее происхождение;</w:t>
        <w:br/>
      </w:r>
      <w:r>
        <w:t>3) обе названные структуры являются женскими гаметофитами (развиваются из споры);</w:t>
        <w:br/>
      </w:r>
      <w:r>
        <w:t>4) эндосперм покрытосеменных растений и эндосперм голосемен-ных растений – аналогичные органы;</w:t>
        <w:br/>
      </w:r>
      <w:r>
        <w:t>5) обе названные структуры имеют разное происхождение, но выполняют одинаковую функцию;</w:t>
        <w:br/>
      </w:r>
      <w:r>
        <w:t>6) обе названные структуры обеспечивают питание зародыша (содержат запас питательных веществ).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нуклеотидная последовательность участка иРНК:</w:t>
        <w:br/>
      </w:r>
      <w:r>
        <w:t>5’-УГЦАЦГГАУЦАГГАГ-3’;</w:t>
        <w:br/>
      </w:r>
      <w:r>
        <w:t>2) по таблице генетического кода находим последовательность белка:</w:t>
        <w:br/>
      </w:r>
      <w:r>
        <w:t>цис-тре-асп-глн-глу;</w:t>
        <w:br/>
      </w:r>
      <w:r>
        <w:t>3) по иРНК определяем молекулу ДНК:</w:t>
        <w:br/>
      </w:r>
      <w:r>
        <w:t>5’-ТГЦАЦГГАТЦАГГАГ-3’</w:t>
        <w:br/>
      </w:r>
      <w:r>
        <w:t>3’-АЦГТГЦЦТАГТЦЦТЦ-5’;</w:t>
        <w:br/>
      </w:r>
      <w:r>
        <w:t>4) верхняя цепь молекулы ДНК кодирующая (нижняя – транскрибируемая).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3505200" cy="3124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3124200"/>
                    </a:xfrm>
                    <a:prstGeom prst="rect"/>
                  </pic:spPr>
                </pic:pic>
              </a:graphicData>
            </a:graphic>
          </wp:inline>
        </w:drawing>
      </w:r>
      <w:r>
        <w:t>3) В случае, если генотип курицы ааВВ, расщепление по фенотипу в потомстве 1 : 1. Если генотип курицы ааBb, то расщепление по фенотипу в потомстве 3 : 3 : 1 : 1. Тип взаимодействия генов – комплементарное взаимодействие.</w:t>
        <w:br/>
      </w:r>
      <w:r>
        <w:rPr>
          <w:i/>
        </w:rPr>
        <w:t>Элементы 1 и 2 засчитываются только при наличии и генотипов, и фенотипов всех возможных потомков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