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Иркутская область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641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517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-2052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Мексика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Архангельская</w:t>
      </w:r>
    </w:p>
    <w:p>
      <w:pPr>
        <w:pStyle w:val="aa"/>
        <w:ind w:left="0" w:right="0"/>
      </w:pPr>
      <w:r/>
      <w:r>
        <w:t xml:space="preserve"> 19-20 </w:t>
      </w:r>
    </w:p>
    <w:p>
      <w:pPr>
        <w:ind w:left="0" w:right="0"/>
      </w:pPr>
      <w:r/>
    </w:p>
    <w:p>
      <w:pPr>
        <w:ind w:left="0" w:right="0"/>
      </w:pPr>
      <w:r/>
      <w:r>
        <w:t xml:space="preserve">19. 312 </w:t>
      </w:r>
    </w:p>
    <w:p>
      <w:pPr>
        <w:ind w:left="0" w:right="0"/>
      </w:pPr>
      <w:r/>
      <w:r>
        <w:t>20. 521</w:t>
      </w:r>
    </w:p>
    <w:p>
      <w:pPr>
        <w:pStyle w:val="aa"/>
        <w:ind w:left="0" w:right="0"/>
      </w:pPr>
      <w:r/>
      <w:r>
        <w:t xml:space="preserve"> 21-23 </w:t>
      </w:r>
    </w:p>
    <w:p>
      <w:pPr>
        <w:ind w:left="0" w:right="0"/>
      </w:pPr>
      <w:r/>
    </w:p>
    <w:p>
      <w:pPr>
        <w:ind w:left="0" w:right="0"/>
      </w:pPr>
      <w:r/>
      <w:r>
        <w:t>21. Норвегия.</w:t>
        <w:br/>
      </w:r>
      <w:r>
        <w:t>22. В ответе говорится, что Экспедиция проводилась в антарктическом и субантарктическом климатических поясах, следовательно, воздушных масс будет две  — антарктическая и умеренная.</w:t>
        <w:br/>
      </w:r>
      <w:r>
        <w:t>23. В ответе говорится, что В южном полушарии в декабре разгар лета: полярный день, нет сильных морозов и ветров. Условия для покорения южного полюса более благоприятные, чем зимой.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1.  В ответе делается предположение, что выше в рейтинге ООН по ИЧР находятся ОАЭ.</w:t>
      </w:r>
    </w:p>
    <w:p>
      <w:pPr>
        <w:ind w:left="0" w:right="0"/>
      </w:pPr>
      <w:r/>
      <w:r>
        <w:t>2.  В обосновании говорится, что:</w:t>
      </w:r>
    </w:p>
    <w:p>
      <w:pPr>
        <w:ind w:left="0" w:right="0"/>
      </w:pPr>
      <w:r/>
      <w:r>
        <w:t>— В ОАЭ более высокая средняя ожидаемая продолжительность жизни ИЛИ приводятся значения показателя средней ожидаемой продолжительности жизни: 78,0 в ОАЭ и 76,9 лет в Алжире;</w:t>
      </w:r>
    </w:p>
    <w:p>
      <w:pPr>
        <w:ind w:left="0" w:right="0"/>
      </w:pPr>
      <w:r/>
      <w:r>
        <w:t>— В ОАЭ выше ВВП на душу населения, и приводятся значения показателя ВВП: 42525 долл. в ОАЭ и 3244 долл. в Алжире. ИЛИ в ОАЭ выше ВВП на душу населения, и приводятся вычисления: 421 000 : 9,9 в ОАЭ и 145 000 : 44,7 в Алжире.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что:</w:t>
        <w:br/>
      </w:r>
      <w:r>
        <w:t>1) 1) доля сельского хозяйства в общем объёме ВВП Сенегала выше, чем в общем объёме ВВП Намибии ИЛИ приводятся значения 16,9 % в Сенегале и 6,6 % в Намибии;</w:t>
        <w:br/>
      </w:r>
      <w:r>
        <w:t>2) доля сельского хозяйства в общем объёме экспорта Сенегала выше, чем в общем объёме экспорта Намибии;</w:t>
        <w:br/>
      </w:r>
      <w:r>
        <w:t>3) для определения доли сельского хозяйства в общем объёме экспорта Сенегала приводятся вычисления: 0,78 : 2,3, для определения доли сельского хозяйства в общем объёме экспорта Намибии приводятся вычисления: 0,99 : 4,0 ИЛИ приводятся значения: 33,9 % в Сенегале и 24,7 % в Намибии;</w:t>
        <w:br/>
      </w:r>
      <w:r>
        <w:t>4) сельское хозяйство играло бóльшую роль в экономике Сенегала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В ответе указаны следующие причины:</w:t>
        <w:br/>
      </w:r>
      <w:r>
        <w:t>1) ежегодное число родившихся будет уменьшаться из-за уменьшения в ближайшие годы численности женщин в возрасте 15–49 лет;</w:t>
        <w:br/>
      </w:r>
      <w:r>
        <w:t>2) смертность будет возрастать из-за увеличения в общей численности населения доли лиц пожилого возраста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</w:t>
      </w:r>
    </w:p>
    <w:p>
      <w:pPr>
        <w:ind w:left="0" w:right="0"/>
      </w:pPr>
      <w:r/>
      <w:r>
        <w:t>В декабре суммарная солнечная радиация будет больше в пункте Б. Оба пункта расположены примерно на одинаковом расстоянии от экватора, но пункт Б расположен в южном полушарии, а там в декабре, во-первых, угол падения солнечных лучей больше, а во-вторых, продолжительность дня больше.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В ответе говорится, что</w:t>
        <w:br/>
      </w:r>
      <w:r>
        <w:t>1) выше всего Солнце будет находиться над горизонтом в точке Б.</w:t>
        <w:br/>
      </w:r>
      <w:r>
        <w:t>В обосновании говорится, что</w:t>
        <w:br/>
      </w:r>
      <w:r>
        <w:t>2) в этот момент на меридиане 105° з.д. полдень,</w:t>
        <w:br/>
      </w:r>
      <w:r>
        <w:t>ИЛИ для определения полуденного меридиана используется вычисление: (19 – 12) × 15°,</w:t>
        <w:br/>
      </w:r>
      <w:r>
        <w:t>ИЛИ точка Б расположена ближе к полуденному меридиану, чем точка В;</w:t>
        <w:br/>
      </w:r>
      <w:r>
        <w:t>3) точка Б расположена южнее точки А,</w:t>
        <w:br/>
      </w:r>
      <w:r>
        <w:t>ИЛИ точка Б расположена ближе к экватору, чем точка А,</w:t>
        <w:br/>
      </w:r>
      <w:r>
        <w:t>ИЛИ в Северном полушарии полуденная высота Солнца увеличивается при движении в сторону экватора</w:t>
      </w:r>
    </w:p>
    <w:p>
      <w:pPr>
        <w:pStyle w:val="aa"/>
        <w:ind w:left="0" w:right="0"/>
      </w:pPr>
      <w:r/>
      <w:r>
        <w:t xml:space="preserve">  29  </w:t>
      </w:r>
    </w:p>
    <w:p>
      <w:pPr>
        <w:ind w:left="0" w:right="0"/>
      </w:pPr>
      <w:r/>
    </w:p>
    <w:p>
      <w:pPr>
        <w:ind w:left="0" w:right="0"/>
      </w:pPr>
      <w:r/>
      <w:r>
        <w:t>Аргументы:</w:t>
      </w:r>
    </w:p>
    <w:p>
      <w:pPr>
        <w:ind w:left="0" w:right="0"/>
      </w:pPr>
      <w:r/>
      <w:r>
        <w:t>1)  пожары могут уходить в торфяники и тлеть там до следующей весны, переходить на следующий год;</w:t>
      </w:r>
    </w:p>
    <w:p>
      <w:pPr>
        <w:ind w:left="0" w:right="0"/>
      </w:pPr>
      <w:r/>
      <w:r>
        <w:t>2)  загрязнение атмосферы продуктами горения при крупных пожарах может приводить к серьёзным экологическим и климатическим последствиям;</w:t>
      </w:r>
    </w:p>
    <w:p>
      <w:pPr>
        <w:ind w:left="0" w:right="0"/>
      </w:pPr>
      <w:r/>
      <w:r>
        <w:t>3)  сравнительно небольшие пожары могут усилиться, распространиться и стать опасными, но будет поздно.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