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6314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6523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145726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2643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Цитадель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>9. Западный</w:t>
        <w:br/>
      </w:r>
      <w:r>
        <w:t>10. Жуков</w:t>
        <w:br/>
      </w:r>
      <w:r>
        <w:t>11. Тула</w:t>
        <w:br/>
      </w:r>
      <w:r>
        <w:t>12. 456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>13. Могут быть названы следующие положения:</w:t>
      </w:r>
    </w:p>
    <w:p>
      <w:pPr>
        <w:ind w:left="0" w:right="0"/>
      </w:pPr>
      <w:r/>
      <w:r>
        <w:t>− в документе речь идет о нашествии на Русь монголов;</w:t>
      </w:r>
    </w:p>
    <w:p>
      <w:pPr>
        <w:ind w:left="0" w:right="0"/>
      </w:pPr>
      <w:r/>
      <w:r>
        <w:t>− событие произошло в XIII в.;</w:t>
      </w:r>
    </w:p>
    <w:p>
      <w:pPr>
        <w:ind w:left="0" w:right="0"/>
      </w:pPr>
      <w:r/>
      <w:r>
        <w:t>− государство, основанное завоевателями, называлась Золотая Орда.</w:t>
      </w:r>
    </w:p>
    <w:p>
      <w:pPr>
        <w:ind w:left="0" w:right="0"/>
      </w:pPr>
      <w:r/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  <w:r>
        <w:t>14. Могут быть названы следующие положения.</w:t>
      </w:r>
    </w:p>
    <w:p>
      <w:pPr>
        <w:ind w:left="0" w:right="0"/>
      </w:pPr>
      <w:r/>
      <w:r>
        <w:t>Проблема:</w:t>
      </w:r>
    </w:p>
    <w:p>
      <w:pPr>
        <w:ind w:left="0" w:right="0"/>
      </w:pPr>
      <w:r/>
      <w:r>
        <w:t>− историком рассматривается проблема установления отношений между русскими князьями и ханами Золотой Орды</w:t>
      </w:r>
    </w:p>
    <w:p>
      <w:pPr>
        <w:ind w:left="0" w:right="0"/>
      </w:pPr>
      <w:r/>
      <w:r>
        <w:t>позиции отдельных русских земель по отношению к Золотой Орде:</w:t>
      </w:r>
    </w:p>
    <w:p>
      <w:pPr>
        <w:ind w:left="0" w:right="0"/>
      </w:pPr>
      <w:r/>
      <w:r>
        <w:t>− Северо-Западная Русь выступала против признания зависимости от Орды;</w:t>
      </w:r>
    </w:p>
    <w:p>
      <w:pPr>
        <w:ind w:left="0" w:right="0"/>
      </w:pPr>
      <w:r/>
      <w:r>
        <w:t>− ростовские князья выступали за признание власти Орды и мирные отношения с завоевателями.</w:t>
      </w:r>
    </w:p>
    <w:p>
      <w:pPr>
        <w:ind w:left="0" w:right="0"/>
      </w:pPr>
      <w:r/>
      <w:r>
        <w:rPr>
          <w:i/>
        </w:rPr>
        <w:t>Поскольку в задании требуется найти в тексте данную в явном виде конкретную информацию, не засчитывается при оценивании переписанный целиком объёмный отрывок текста, включающий наряду с верным элементом избыточную информацию</w:t>
      </w:r>
    </w:p>
    <w:p>
      <w:pPr>
        <w:pStyle w:val="aa"/>
        <w:ind w:left="0" w:right="0"/>
      </w:pPr>
      <w:r/>
      <w:r>
        <w:t xml:space="preserve"> 15-16 </w:t>
      </w:r>
    </w:p>
    <w:p>
      <w:pPr>
        <w:ind w:left="0" w:right="0"/>
      </w:pPr>
      <w:r/>
    </w:p>
    <w:p>
      <w:pPr>
        <w:ind w:left="0" w:right="0"/>
      </w:pPr>
      <w:r/>
      <w:r>
        <w:t>15. Правильный ответ должен содержать следующие элементы:</w:t>
        <w:br/>
      </w:r>
      <w:r>
        <w:t>1) период – Гражданская война;</w:t>
        <w:br/>
      </w:r>
      <w:r>
        <w:t>2) обоснование – надпись на плакате гласит о препятствии в виде белогвардейских банд. На знамёнах изображены лозунги Гражданской войны («Да здравствует Советская власть!», «Да здравствует коммунизм!»); фигуры крестьянина, рабочего и красноармейца попирают фигуры вождей Белого движения (Каледина, Колчака, Деникина, Дутова) и чехословаков – противников большевиков в Гражданской войне.</w:t>
        <w:br/>
      </w:r>
      <w:r>
        <w:t>(Может быть приведено другое обоснование.)</w:t>
        <w:br/>
      </w:r>
      <w:r>
        <w:rPr>
          <w:i/>
        </w:rPr>
        <w:t>Элемент 1 ответа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  <w:r>
        <w:t>16. Правильный ответ должен содержать следующие элементы:</w:t>
        <w:br/>
      </w:r>
      <w:r>
        <w:t>1) цифра, обозначающая памятник архитектуры, – 2;</w:t>
        <w:br/>
      </w:r>
      <w:r>
        <w:t>2) архитектурный стиль – конструктивизм.</w:t>
        <w:br/>
      </w:r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название города – Тегеран;</w:t>
        <w:br/>
      </w:r>
      <w:r>
        <w:t>2) год – 1943 г.;</w:t>
        <w:br/>
      </w:r>
      <w:r>
        <w:t>3) суждение, например:</w:t>
        <w:br/>
      </w:r>
      <w:r>
        <w:t>– Сталин, загруженный своими обязанностями командующего, настаивал на том, чтобы встреча состоялась в городе, расположенном не далее дневного перелёта от Москвы</w:t>
        <w:br/>
      </w:r>
      <w:r>
        <w:rPr>
          <w:i/>
        </w:rPr>
        <w:t xml:space="preserve">Каждый из элементов ответа 1 и 2 может быть засчитан только при условии отсутствия неверных позиций в этом элементе наряду с верной. Элемент ответа 3 может быть представлен как в форме цитат, так и в форме сжатого воспроизведения основных идей соответствующего фрагмента текста. Поскольку в задании требуется найти в тексте данную в явном виде конкретную информацию, </w:t>
      </w:r>
      <w:r>
        <w:rPr>
          <w:b/>
          <w:i/>
        </w:rPr>
        <w:t xml:space="preserve">не засчитывается при оценивании </w:t>
      </w:r>
      <w:r>
        <w:rPr>
          <w:i/>
        </w:rPr>
        <w:t>элемента 3 ответа переписанный целиком объёмный отрывок текста, включающий наряду с верным элементом избыточную информацию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 ржать следующие элементы:</w:t>
      </w:r>
    </w:p>
    <w:p>
      <w:pPr>
        <w:ind w:left="0" w:right="0"/>
      </w:pPr>
      <w:r/>
      <w:r>
        <w:t>а) в это время Русское государство вело борьбу с крымскими татарами, и члены Избранной рады опасались войны «на два фронта»;</w:t>
        <w:br/>
      </w:r>
      <w:r>
        <w:t>б) Ливония переживала глубокий политический и социальный кризис, в том числе связанный с утверждением протестантизма, ослабившего внутреннюю организацию Ливонского ордена, что, по мнению Ивана Грозного, делало орден лёгкой добычей;</w:t>
        <w:br/>
      </w:r>
      <w:r>
        <w:t>в) война очень дорого стоила русской казне, и к её концу Русское государство испытывало острую нехватку средств (были повышены налоги, но разорившееся население не могло их платить</w:t>
        <w:br/>
      </w:r>
      <w:r>
        <w:t>– запустение многих земель и бегство населения на восток).</w:t>
      </w:r>
    </w:p>
    <w:p>
      <w:pPr>
        <w:ind w:left="0" w:right="0"/>
      </w:pPr>
      <w:r/>
      <w:r>
        <w:t>Могут быть указаны другие причина и/или последствие(-я).</w:t>
        <w:br/>
      </w:r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1.  Смысл понятия: провозглашённая в СССР в 1929 г. политика «ликвидации кулачества как класса», сопровождавшая коллективизацию и нацеленная на подавление тех сил в деревне, которые могли ей противостоять. (Смысл понятия может быть приведён в иной, близкой по смыслу формулировке.)</w:t>
      </w:r>
    </w:p>
    <w:p>
      <w:pPr>
        <w:ind w:left="0" w:right="0"/>
      </w:pPr>
      <w:r/>
      <w:r>
        <w:t>2.  Факт:</w:t>
      </w:r>
    </w:p>
    <w:p>
      <w:pPr>
        <w:ind w:left="0" w:right="0"/>
      </w:pPr>
      <w:r/>
      <w:r>
        <w:t>− провозглашённые кулаками и их приспешниками крестьяне подлежали физическому устранению, тюремному заключению или высылке (подвергшихся ей называли спецпоселенцы);</w:t>
      </w:r>
    </w:p>
    <w:p>
      <w:pPr>
        <w:ind w:left="0" w:right="0"/>
      </w:pPr>
      <w:r/>
      <w:r>
        <w:t>− для отнесения крестьянина к категории «кулак» было достаточно иметь немного больше земли или скота в распоряжении в сравнении с односельчанами, использовать наёмный труд;</w:t>
      </w:r>
    </w:p>
    <w:p>
      <w:pPr>
        <w:ind w:left="0" w:right="0"/>
      </w:pPr>
      <w:r/>
      <w:r>
        <w:t>− для репрессий против крестьян, которые не попадали по своему материальному статусу в категорию кулаков, был придуман особый термин «подкулачник», под которым понимался небогатый крестьянин, но «подпевающий» кулакам, поддерживающий их борьбу против советской власти.</w:t>
      </w:r>
    </w:p>
    <w:p>
      <w:pPr>
        <w:ind w:left="0" w:right="0"/>
      </w:pPr>
      <w:r/>
      <w:r>
        <w:t>(Может быть приведён другой факт.)</w:t>
      </w:r>
    </w:p>
    <w:p>
      <w:pPr>
        <w:ind w:left="0" w:right="0"/>
      </w:pPr>
      <w:r/>
      <w:r>
        <w:rPr>
          <w:i/>
        </w:rPr>
        <w:t>Элемент 2 ответа (факт)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</w:r>
    </w:p>
    <w:p>
      <w:pPr>
        <w:ind w:left="0" w:right="0"/>
      </w:pPr>
      <w:r/>
      <w:r>
        <w:t>От непримиримой враждебности с правительствами западных стран в 1917−1921 гг. советское правительство перешло к политике сотрудничества и налаживания контактов.</w:t>
      </w:r>
    </w:p>
    <w:p>
      <w:pPr>
        <w:ind w:left="0" w:right="0"/>
      </w:pPr>
      <w:r/>
      <w:r>
        <w:t>Обоснование:</w:t>
      </w:r>
    </w:p>
    <w:p>
      <w:pPr>
        <w:ind w:left="0" w:right="0"/>
      </w:pPr>
      <w:r/>
      <w:r>
        <w:t>— до 1922 г. Советская Россия не имела постоянных дипломатических связей с западными странами, но в 1922 г. советская делегация поехала на Генуэзскую конференцию, а с 1924 г. началась полоса дипломатического признания СССР  — установление дипломатических отношений с Францией, Италией и другими западными странами;</w:t>
      </w:r>
    </w:p>
    <w:p>
      <w:pPr>
        <w:ind w:left="0" w:right="0"/>
      </w:pPr>
      <w:r/>
      <w:r>
        <w:t>— в 1917−1918 гг. советское правительство провело национализацию собственности западных предпринимателей в России и отказалось платить по царским долгам, что оборвало экономические связи с Западом, но с 1921 г. в Советской России стали создаваться иностранные концессии, а в западных странах стали открываться торговые представительства.</w:t>
      </w:r>
    </w:p>
    <w:p>
      <w:pPr>
        <w:ind w:left="0" w:right="0"/>
      </w:pPr>
      <w:r/>
      <w:r>
        <w:rPr>
          <w:i/>
        </w:rPr>
        <w:t>При оценивании засчитываются только обоснования, содержащие два исторических факта (по одному для каждого из сравниваемых объектов). В качестве исторических фактов не принимаются указания на совокупность событий (например: «было одержано несколько побед»).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аргументы:</w:t>
      </w:r>
    </w:p>
    <w:p>
      <w:pPr>
        <w:ind w:left="0" w:right="0"/>
      </w:pPr>
      <w:r/>
      <w:r>
        <w:t>1)  для России, например: реформа Патриарха Никона привела к расколу РПЦ и началу преследования властями старообрядцев, которые подвергались гонениям вплоть до второй половины XIX века;</w:t>
      </w:r>
    </w:p>
    <w:p>
      <w:pPr>
        <w:ind w:left="0" w:right="0"/>
      </w:pPr>
      <w:r/>
      <w:r>
        <w:t>2)  для Германии, например: начало Реформации в Германии привело к религиозным войнам, которые закончились подписанием Аугсбургского религиозного мира  — унии между лютеранскими и католическими субъектами Священной Римской империи и римским королём Фердинандом I, действовавшим от имени императора Карла V. Аугсбургский мир признал лютеранство официальной религией и установил право имперских сословий на выбор вероисповедания.</w:t>
      </w:r>
    </w:p>
    <w:p>
      <w:pPr>
        <w:ind w:left="0" w:right="0"/>
      </w:pPr>
      <w:r/>
      <w:r>
        <w:t>Могут быть приведены другие аргументы.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