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12121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11212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11323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вопрос, например: финансовый контроль – это контроль зас законностью и целесообразностью действий в процессе сбора, распределения и использования государственных и муниципальных денежных фондов в целях осуществления эффективной финансовой политики в обществе;</w:t>
        <w:br/>
      </w:r>
      <w:r>
        <w:t>2) ответ на второй вопрос, например:</w:t>
        <w:br/>
      </w:r>
      <w:r>
        <w:t>– наблюдение за законностью и целесообразностью финансовой деятельности;</w:t>
        <w:br/>
      </w:r>
      <w:r>
        <w:t>– оценка финансовой деятельности с правовых, научных, социально-политических, организационно-технических позиций.</w:t>
        <w:br/>
      </w:r>
      <w:r>
        <w:t>(Ответ на второй вопрос засчитывается только в случае указания двух позиций.)</w:t>
        <w:br/>
      </w:r>
      <w:r>
        <w:t>3) ответ на третий вопрос, например: главный недостаток контрольной составляющей Бюджетного кодекса РФ состоит в том, что документ фактически ставит знак равенства между бюджетным контролем и государственным финансовым контролем.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 xml:space="preserve">18. В правильном ответе должны быть следующие элементы: </w:t>
        <w:br/>
      </w:r>
      <w:r>
        <w:t>1) ответ на первый вопрос, например: государственный бюджет – финансовый документ, содержащий информацию о совокупных доходах и расходах страны;</w:t>
        <w:br/>
      </w:r>
      <w:r>
        <w:t>2) ответ на второй вопрос, например:</w:t>
        <w:br/>
      </w:r>
      <w:r>
        <w:t>– функция государственного управления;</w:t>
        <w:br/>
      </w:r>
      <w:r>
        <w:t>– стадия конкретных управленческих действий государства;</w:t>
        <w:br/>
      </w:r>
      <w:r>
        <w:t>– форма обратной связи в системе финансово-правового регулирования;</w:t>
        <w:br/>
      </w:r>
      <w:r>
        <w:t>– способ поддержания режима законности и правопорядка в финансовой сфере, поскольку он направлен на обеспечение соблюдения норм финансового права.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должны быть названы две любых сферы и приведены примеры, иллюстрирующие каждую из них:</w:t>
        <w:br/>
      </w:r>
      <w:r>
        <w:t>1) государственные и муниципальные органы:</w:t>
        <w:br/>
      </w:r>
      <w:r>
        <w:t>– пресс-служба Счётной палаты РФ сообщила, что ведомство провело проверку эффективности кредитования Самарской области и нашло ряд нарушений;</w:t>
        <w:br/>
      </w:r>
      <w:r>
        <w:t>– городская счётная палата провела проверку закладных по ипотечным кредитам банков города Т;</w:t>
        <w:br/>
      </w:r>
      <w:r>
        <w:t>2) негосударственные организации и учреждения, которые наделены полномочиями проводить мероприятия по проверке соблюдения финансового законодательства:</w:t>
        <w:br/>
      </w:r>
      <w:r>
        <w:t>– руководство крупного предприятия заказало проведение аудиторской проверки независимой аудиторской компании с целью выявления неэффективного расходования средств;</w:t>
        <w:br/>
      </w:r>
      <w:r>
        <w:t>– независимая аудиторская компания оказывает мелким и средним предприятиям города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 В правильном ответе должны приведены и кратко пояснены три фактора, допустим:</w:t>
        <w:br/>
      </w:r>
      <w:r>
        <w:t>1) объективность (деятельность финансовых контролирующих органов не должна зависеть от личных предпочтений и интересов, в ином случае оценка деятельности проверяемых субъектов будет ошибочной);</w:t>
        <w:br/>
      </w:r>
      <w:r>
        <w:t>2) компетентность (контролирующие органы должны прекрасно владеть информацией о действующем законодательстве, текущих экономических и финансовых процессах, чтобы полноценно оценить эффективность финансовой деятельности);</w:t>
        <w:br/>
      </w:r>
      <w:r>
        <w:t>3) гласность (во избежание коррупции и других правонарушений, которые подрывают финансовую систему, контролирующие органы должны освещать результаты проверок органов государственной власти в СМИ);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 равновесная цена увеличилась;</w:t>
        <w:br/>
      </w:r>
      <w:r>
        <w:t>2) ответ на второй вопрос (одно обстоятельство (фактор) с объяснением влияния), например: закрытие предприятий в легкой промышленности в условиях экономического кризиса (сокращение количества фирм в отрасли).</w:t>
        <w:br/>
      </w:r>
      <w:r>
        <w:t>(Может быть названо и объяснено другое обстоятельство / другой фактор.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при прочих равных условиях, мода на изделия из экокожи приведёт к увеличению спроса и росту равновесной цены.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режим – тоталитарный ИЛИ авторитарный;</w:t>
        <w:br/>
      </w:r>
      <w:r>
        <w:t>2) признаки:</w:t>
        <w:br/>
      </w:r>
      <w:r>
        <w:t>– безальтернативные выборы;</w:t>
        <w:br/>
      </w:r>
      <w:r>
        <w:t>– регулярные хозяйственно-экономические планы (плановая экономика);</w:t>
        <w:br/>
      </w:r>
      <w:r>
        <w:t>3) один другой признак, допустим: однопартийная система.</w:t>
        <w:br/>
      </w:r>
      <w:r>
        <w:rPr>
          <w:i/>
          <w:u w:val="single"/>
        </w:rPr>
        <w:t xml:space="preserve">(Ответ на каждый из вопросов 1–3 засчитывается только при наличии правильного однозначного указания названия типа рынка, типа конкуренции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  <w:br/>
      </w:r>
      <w:r>
        <w:t>Ответы на вопросы могут быть даны в других формулировках, не искажающих смысла соответствующих элементов ответа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  в Конституции Российской Федерации утверждается приоритет прав и свобод граждан и обязательство государства их защищать;</w:t>
        <w:br/>
      </w:r>
      <w:r>
        <w:t>2)  в Конституции закреплено разделение государственной власти на законодательную исполнительную и судебную;</w:t>
        <w:br/>
      </w:r>
      <w:r>
        <w:t>3)  в Конституции закреплён принцип верховенства права: все люди, организации, органы власти должны подчиняться Конституции и действующему законодательству.</w:t>
      </w:r>
    </w:p>
    <w:p>
      <w:pPr>
        <w:ind w:left="0" w:right="0"/>
      </w:pPr>
      <w:r/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– соответствие структуры предложенного ответа плану сложного типа;</w:t>
        <w:br/>
      </w:r>
      <w:r>
        <w:t>– наличие пунктов плана, позволяющих раскрыть содержание данной темы по существу;</w:t>
        <w:br/>
      </w:r>
      <w:r>
        <w:t>– количество подпунктов каждого пункта;</w:t>
        <w:br/>
      </w:r>
      <w:r>
        <w:t>– корректность формулировок пунктов и подпунктов планаОдин из вариантов плана раскрытия данной темы</w:t>
        <w:br/>
      </w:r>
      <w:r>
        <w:t>1) Понятие деятельности.</w:t>
        <w:br/>
      </w:r>
      <w:r>
        <w:t>2) Структура деятельности:</w:t>
        <w:br/>
      </w:r>
      <w:r>
        <w:t>а) субъект;</w:t>
        <w:br/>
      </w:r>
      <w:r>
        <w:t>б) объект;</w:t>
        <w:br/>
      </w:r>
      <w:r>
        <w:t>в) цель;</w:t>
        <w:br/>
      </w:r>
      <w:r>
        <w:t>г) мотив;</w:t>
        <w:br/>
      </w:r>
      <w:r>
        <w:t>д) результат.</w:t>
        <w:br/>
      </w:r>
      <w:r>
        <w:t>3) Мотивы деятельности:</w:t>
        <w:br/>
      </w:r>
      <w:r>
        <w:t>а) интересы;</w:t>
        <w:br/>
      </w:r>
      <w:r>
        <w:t>б) потребности;</w:t>
        <w:br/>
      </w:r>
      <w:r>
        <w:t>в) убеждения.</w:t>
        <w:br/>
      </w:r>
      <w:r>
        <w:t>4) Виды потребностей:</w:t>
        <w:br/>
      </w:r>
      <w:r>
        <w:t>а) биологические;</w:t>
        <w:br/>
      </w:r>
      <w:r>
        <w:t>б) социальные;</w:t>
        <w:br/>
      </w:r>
      <w:r>
        <w:t>в) духовные.</w:t>
        <w:br/>
      </w:r>
      <w:r>
        <w:t>5) Виды интересов:</w:t>
        <w:br/>
      </w:r>
      <w:r>
        <w:t>а) индивидуальные;</w:t>
        <w:br/>
      </w:r>
      <w:r>
        <w:t>б) групповые;</w:t>
        <w:br/>
      </w:r>
      <w:r>
        <w:t>в) общественные.</w:t>
        <w:br/>
      </w:r>
      <w:r>
        <w:t>6. Значение потребностей и интересов в деятельности человека.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t>2) ответ на вопрос;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  <w:br/>
      </w:r>
      <w:r>
        <w:t>3) три примера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