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физике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451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6174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8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2000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1,5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0,25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81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Характеристика оборудования</w:t>
        <w:br/>
      </w:r>
      <w:r>
        <w:t>При выполнении задания используется комплект оборудования № 4 в следующем составе: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047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47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Внимание!</w:t>
      </w:r>
      <w:r>
        <w:t xml:space="preserve"> При замене какого-либо элемента оборудования на аналогичное с другими характеристиками необходимо внести соответствующие изменения в образец выполнения задания.</w:t>
      </w:r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429250" cy="26003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6003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343525" cy="18478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847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  <w:i/>
        </w:rPr>
        <w:t>Указание экспертам</w:t>
      </w:r>
    </w:p>
    <w:p>
      <w:pPr>
        <w:ind w:left="0" w:right="0"/>
      </w:pPr>
      <w:r/>
      <w:r>
        <w:t>1. Измерение силы (F</w:t>
      </w:r>
      <w:r>
        <w:rPr>
          <w:vertAlign w:val="subscript"/>
        </w:rPr>
        <w:t>тр</w:t>
      </w:r>
      <w:r>
        <w:t xml:space="preserve"> и Р) считается верным, если её значение попадает в интервал ±0,2 H к указанным в таблице значениям.</w:t>
        <w:br/>
      </w:r>
      <w:r>
        <w:t>Для комплекта «ГИА-лаборатория» измерение силы F считается верным, если её значение попадает в интервал ± 0,04 Н; а веса − в интервал ± 0,2 Н к указанным в таблице значениям.</w:t>
        <w:br/>
      </w:r>
      <w:r>
        <w:t>2. Наличие вывода о функциональной (прямой пропорциональной) зависимости между силой трения скольжения и силой нормального давления не является обязательным, достаточным считается вывод о качественной зависимости.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Образец возможного ответа.</w:t>
        <w:br/>
      </w:r>
      <w:r>
        <w:t>1. Ответ: во втором.</w:t>
        <w:br/>
      </w:r>
      <w:r>
        <w:t>2. В таблетке активированного угля, предварительно растёртой в порошок, площадь адсорбирующей поверхности многократно больше, чем у целой таблетки, поэтому и адсорбировать чернила этот порошок будет лучше. Поэтому во втором стакане вода обесцветится быстрее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t>1. Внутренняя энергия преобразуется в электрическую.</w:t>
        <w:br/>
      </w:r>
      <w:r>
        <w:t>2. При нагревании спаев термоэлемента изменяется их температура, а следовательно, внутренняя энергия. При этом спаи нагревают до разной температуры. При соединении спаев в цепи термоэлемента появляется электрический ток, следовательно, внутренняя энергия спаев превращается в электрическую энергию.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334000" cy="17716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771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990975" cy="22955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22955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572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57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7907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907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